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A9" w:rsidRPr="007F3B07" w:rsidRDefault="004C1BA9" w:rsidP="004C1BA9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7F3B07">
        <w:rPr>
          <w:rFonts w:ascii="Times New Roman" w:hAnsi="Times New Roman"/>
          <w:b/>
        </w:rPr>
        <w:t>МІНІСТЕРСТВО ФІНАНСІВ УКРАЇНИ</w:t>
      </w:r>
    </w:p>
    <w:p w:rsidR="004C1BA9" w:rsidRPr="007F3B07" w:rsidRDefault="004C1BA9" w:rsidP="004C1BA9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7F3B07">
        <w:rPr>
          <w:rFonts w:ascii="Times New Roman" w:hAnsi="Times New Roman"/>
          <w:b/>
        </w:rPr>
        <w:t>ЛИСТ</w:t>
      </w:r>
    </w:p>
    <w:p w:rsidR="004C1BA9" w:rsidRPr="007F3B07" w:rsidRDefault="004C1BA9" w:rsidP="004C1BA9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7F3B07">
        <w:rPr>
          <w:rFonts w:ascii="Times New Roman" w:hAnsi="Times New Roman"/>
          <w:b/>
        </w:rPr>
        <w:t xml:space="preserve">від 08.12.2019 р. </w:t>
      </w:r>
      <w:r w:rsidRPr="007F3B07">
        <w:rPr>
          <w:rFonts w:ascii="Times New Roman" w:hAnsi="Times New Roman"/>
          <w:b/>
          <w:lang w:val="ru-RU"/>
        </w:rPr>
        <w:t>№</w:t>
      </w:r>
      <w:r w:rsidRPr="007F3B07">
        <w:rPr>
          <w:rFonts w:ascii="Times New Roman" w:hAnsi="Times New Roman"/>
          <w:b/>
        </w:rPr>
        <w:t xml:space="preserve"> 11210-09-62/32343</w:t>
      </w:r>
    </w:p>
    <w:p w:rsidR="004C1BA9" w:rsidRPr="007F3B07" w:rsidRDefault="004C1BA9" w:rsidP="004C1BA9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7F3B07">
        <w:rPr>
          <w:rFonts w:ascii="Times New Roman" w:hAnsi="Times New Roman"/>
          <w:b/>
        </w:rPr>
        <w:t>(Витяг)</w:t>
      </w:r>
    </w:p>
    <w:p w:rsidR="004C1BA9" w:rsidRPr="004C1BA9" w:rsidRDefault="004C1BA9" w:rsidP="004C1BA9">
      <w:pPr>
        <w:spacing w:before="100" w:beforeAutospacing="1" w:after="100" w:afterAutospacing="1"/>
        <w:rPr>
          <w:rFonts w:ascii="Times New Roman" w:hAnsi="Times New Roman"/>
        </w:rPr>
      </w:pPr>
      <w:r w:rsidRPr="004C1BA9">
        <w:rPr>
          <w:rFonts w:ascii="Times New Roman" w:hAnsi="Times New Roman"/>
        </w:rPr>
        <w:t>Згідно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підпунктом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296.1.3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пункту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296.1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статті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296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Податкового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кодексу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України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(далі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Кодекс)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платники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єдиного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податку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третьої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групи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(юридичні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особи)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використовують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дані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спрощеного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бухгалтерського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обліку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щодо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доходів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та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витрат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урахування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положень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пунктів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44.2,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44.3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статті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44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Кодексу.</w:t>
      </w:r>
    </w:p>
    <w:p w:rsidR="004C1BA9" w:rsidRPr="004C1BA9" w:rsidRDefault="004C1BA9" w:rsidP="004C1BA9">
      <w:pPr>
        <w:spacing w:before="100" w:beforeAutospacing="1" w:after="100" w:afterAutospacing="1"/>
        <w:rPr>
          <w:rFonts w:ascii="Times New Roman" w:hAnsi="Times New Roman"/>
        </w:rPr>
      </w:pPr>
      <w:r w:rsidRPr="004C1BA9">
        <w:rPr>
          <w:rFonts w:ascii="Times New Roman" w:hAnsi="Times New Roman"/>
        </w:rPr>
        <w:t>Юридичні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особи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платники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єдиного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податку,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які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відповідають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критеріям,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визначеним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підпунктом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пункту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291.4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статті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291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Кодексу,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ведуть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спрощений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бухгалтерський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облік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доходів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та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витрат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метою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обрахунку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об'єкта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оподаткування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методикою,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затвердженою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центральним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органом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виконавчої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влади,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що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забезпечує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формування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та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реалізує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державну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податкову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і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митну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політику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(пункт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44.2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статті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44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Кодексу).</w:t>
      </w:r>
    </w:p>
    <w:p w:rsidR="004C1BA9" w:rsidRPr="004C1BA9" w:rsidRDefault="004C1BA9" w:rsidP="004C1BA9">
      <w:pPr>
        <w:spacing w:before="100" w:beforeAutospacing="1" w:after="100" w:afterAutospacing="1"/>
        <w:rPr>
          <w:rFonts w:ascii="Times New Roman" w:hAnsi="Times New Roman"/>
        </w:rPr>
      </w:pPr>
      <w:r w:rsidRPr="004C1BA9">
        <w:rPr>
          <w:rFonts w:ascii="Times New Roman" w:hAnsi="Times New Roman"/>
        </w:rPr>
        <w:t>Порядок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визнання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доходів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та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їх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класифікація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здійснюється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відповідно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до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Положення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(стандарту)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бухгалтерського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обліку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"Дохід",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затвердженого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наказом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Міністерства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фінансів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України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від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29.11.99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р.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290,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яке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поширюється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підприємства,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організації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та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інші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юридичні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особи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незалежно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від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форм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власності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(крім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бюджетних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установ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та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підприємств,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які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відповідно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до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законодавства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складають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фінансову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звітність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міжнародними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стандартами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фінансової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звітності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(далі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МСФЗ)).</w:t>
      </w:r>
    </w:p>
    <w:p w:rsidR="004C1BA9" w:rsidRPr="004C1BA9" w:rsidRDefault="004C1BA9" w:rsidP="004C1BA9">
      <w:pPr>
        <w:spacing w:before="100" w:beforeAutospacing="1" w:after="100" w:afterAutospacing="1"/>
        <w:rPr>
          <w:rFonts w:ascii="Times New Roman" w:hAnsi="Times New Roman"/>
        </w:rPr>
      </w:pPr>
      <w:r w:rsidRPr="004C1BA9">
        <w:rPr>
          <w:rFonts w:ascii="Times New Roman" w:hAnsi="Times New Roman"/>
        </w:rPr>
        <w:t>Згідно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із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зазначеним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Положенням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(стандартом)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дохід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визнається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під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час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збільшення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активу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або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зменшення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зобов'язання,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що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зумовлює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зростання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власного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капіталу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(за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винятком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зростання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капіталу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рахунок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внесків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учасників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підприємства),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умови,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що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оцінка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доходу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може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бути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достовірно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визначена.</w:t>
      </w:r>
    </w:p>
    <w:p w:rsidR="004C1BA9" w:rsidRPr="004C1BA9" w:rsidRDefault="004C1BA9" w:rsidP="004C1BA9">
      <w:pPr>
        <w:spacing w:before="100" w:beforeAutospacing="1" w:after="100" w:afterAutospacing="1"/>
        <w:rPr>
          <w:rFonts w:ascii="Times New Roman" w:hAnsi="Times New Roman"/>
        </w:rPr>
      </w:pPr>
      <w:r w:rsidRPr="004C1BA9">
        <w:rPr>
          <w:rFonts w:ascii="Times New Roman" w:hAnsi="Times New Roman"/>
        </w:rPr>
        <w:t>Відповідно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до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Інструкції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про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застосування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Плану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рахунків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бухгалтерського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обліку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активів,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капіталу,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зобов'язань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і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господарських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операцій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підприємств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і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організацій,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затвердженої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наказом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Міністерства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фінансів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України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від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30.11.99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р.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291,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рахунок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42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"Додатковий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капітал"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призначено,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зокрема,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для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обліку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іншого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вкладеного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засновниками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підприємств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(крім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акціонерних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товариств)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капіталу,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що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перевищує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статутний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капітал,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інші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внески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тощо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без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рішень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про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зміни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розміру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статутного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капіталу.</w:t>
      </w:r>
    </w:p>
    <w:p w:rsidR="004C1BA9" w:rsidRPr="004C1BA9" w:rsidRDefault="004C1BA9" w:rsidP="004C1BA9">
      <w:pPr>
        <w:spacing w:before="100" w:beforeAutospacing="1" w:after="100" w:afterAutospacing="1"/>
        <w:rPr>
          <w:rFonts w:ascii="Times New Roman" w:hAnsi="Times New Roman"/>
        </w:rPr>
      </w:pPr>
      <w:r w:rsidRPr="004C1BA9"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кредитом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рахунку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42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"Додатковий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капітал"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відображається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збільшення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додаткового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капіталу,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дебетом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його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зменшення.</w:t>
      </w:r>
    </w:p>
    <w:p w:rsidR="004C1BA9" w:rsidRPr="004C1BA9" w:rsidRDefault="004C1BA9" w:rsidP="004C1BA9">
      <w:pPr>
        <w:spacing w:before="100" w:beforeAutospacing="1" w:after="100" w:afterAutospacing="1"/>
        <w:rPr>
          <w:rFonts w:ascii="Times New Roman" w:hAnsi="Times New Roman"/>
        </w:rPr>
      </w:pPr>
      <w:r w:rsidRPr="004C1BA9">
        <w:rPr>
          <w:rFonts w:ascii="Times New Roman" w:hAnsi="Times New Roman"/>
        </w:rPr>
        <w:t>Згідно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із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Методичними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рекомендаціями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щодо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заповнення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форм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фінансової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звітності,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затвердженими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наказом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Міністерства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фінансів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України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від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28.03.2013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р.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433,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які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можуть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застосовуватися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підприємствами,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організаціями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та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іншими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юридичними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особами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усіх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форм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власності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(крім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банків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і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бюджетних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установ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та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підприємств,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які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відповідно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до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законодавства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застосовують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МСФЗ),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власний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lastRenderedPageBreak/>
        <w:t>капітал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відображається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балансі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одночасно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відображенням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активів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або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зобов'язань,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які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призводять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до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його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зміни.</w:t>
      </w:r>
    </w:p>
    <w:p w:rsidR="004C1BA9" w:rsidRPr="004C1BA9" w:rsidRDefault="004C1BA9" w:rsidP="004C1BA9">
      <w:pPr>
        <w:spacing w:before="100" w:beforeAutospacing="1" w:after="100" w:afterAutospacing="1"/>
        <w:rPr>
          <w:rFonts w:ascii="Times New Roman" w:hAnsi="Times New Roman"/>
        </w:rPr>
      </w:pPr>
      <w:r w:rsidRPr="004C1BA9">
        <w:rPr>
          <w:rFonts w:ascii="Times New Roman" w:hAnsi="Times New Roman"/>
        </w:rPr>
        <w:t>Отже,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оскільки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для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цілей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бухгалтерського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обліку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збільшення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додаткового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капіталу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рахунок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внесків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засновниками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є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операцією,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що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приводить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до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збільшення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власного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капіталу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та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при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цьому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приводить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до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збільшення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доходу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підприємства,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то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відповідно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внесення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грошових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коштів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засновниками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як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додатковий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капітал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без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зміни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розміру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статутного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капіталу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включається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до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складу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доходу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платника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єдиного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податку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третьої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групи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(юридичної</w:t>
      </w:r>
      <w:r>
        <w:rPr>
          <w:rFonts w:ascii="Times New Roman" w:hAnsi="Times New Roman"/>
        </w:rPr>
        <w:t xml:space="preserve"> </w:t>
      </w:r>
      <w:r w:rsidRPr="004C1BA9">
        <w:rPr>
          <w:rFonts w:ascii="Times New Roman" w:hAnsi="Times New Roman"/>
        </w:rPr>
        <w:t>особи).</w:t>
      </w:r>
    </w:p>
    <w:p w:rsidR="00577043" w:rsidRPr="004C1BA9" w:rsidRDefault="00577043" w:rsidP="004C1BA9">
      <w:pPr>
        <w:spacing w:before="100" w:beforeAutospacing="1" w:after="100" w:afterAutospacing="1"/>
        <w:rPr>
          <w:rFonts w:ascii="Times New Roman" w:hAnsi="Times New Roman"/>
        </w:rPr>
      </w:pPr>
    </w:p>
    <w:sectPr w:rsidR="00577043" w:rsidRPr="004C1BA9" w:rsidSect="0057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BA9"/>
    <w:rsid w:val="000E3C23"/>
    <w:rsid w:val="001B51D0"/>
    <w:rsid w:val="001E6541"/>
    <w:rsid w:val="002C6CC3"/>
    <w:rsid w:val="002F1DCB"/>
    <w:rsid w:val="0047126E"/>
    <w:rsid w:val="004B6C56"/>
    <w:rsid w:val="004C1BA9"/>
    <w:rsid w:val="005701BB"/>
    <w:rsid w:val="00577043"/>
    <w:rsid w:val="007952B2"/>
    <w:rsid w:val="007A5967"/>
    <w:rsid w:val="007C05FF"/>
    <w:rsid w:val="007F3B07"/>
    <w:rsid w:val="00A36762"/>
    <w:rsid w:val="00A37567"/>
    <w:rsid w:val="00B2238E"/>
    <w:rsid w:val="00B958DB"/>
    <w:rsid w:val="00C23510"/>
    <w:rsid w:val="00C3615B"/>
    <w:rsid w:val="00C42CF4"/>
    <w:rsid w:val="00C81283"/>
    <w:rsid w:val="00E20A4E"/>
    <w:rsid w:val="00EF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20A4E"/>
    <w:rPr>
      <w:rFonts w:ascii="Antiqua" w:hAnsi="Antiqua"/>
      <w:lang w:val="uk-UA"/>
    </w:rPr>
  </w:style>
  <w:style w:type="paragraph" w:styleId="1">
    <w:name w:val="heading 1"/>
    <w:basedOn w:val="a"/>
    <w:next w:val="a"/>
    <w:link w:val="10"/>
    <w:qFormat/>
    <w:rsid w:val="00E20A4E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E20A4E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20A4E"/>
    <w:pPr>
      <w:keepNext/>
      <w:spacing w:before="120"/>
      <w:ind w:left="567"/>
      <w:outlineLvl w:val="2"/>
    </w:pPr>
    <w:rPr>
      <w:b/>
      <w:i/>
      <w:lang w:val="ru-RU"/>
    </w:rPr>
  </w:style>
  <w:style w:type="paragraph" w:styleId="4">
    <w:name w:val="heading 4"/>
    <w:basedOn w:val="a"/>
    <w:next w:val="a"/>
    <w:link w:val="40"/>
    <w:qFormat/>
    <w:rsid w:val="00E20A4E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A4E"/>
    <w:rPr>
      <w:rFonts w:ascii="Antiqua" w:hAnsi="Antiqua"/>
      <w:b/>
      <w:smallCaps/>
      <w:sz w:val="28"/>
      <w:lang w:val="uk-UA"/>
    </w:rPr>
  </w:style>
  <w:style w:type="character" w:customStyle="1" w:styleId="20">
    <w:name w:val="Заголовок 2 Знак"/>
    <w:basedOn w:val="a0"/>
    <w:link w:val="2"/>
    <w:rsid w:val="00E20A4E"/>
    <w:rPr>
      <w:rFonts w:ascii="Antiqua" w:hAnsi="Antiqua"/>
      <w:b/>
      <w:sz w:val="26"/>
      <w:lang w:val="uk-UA"/>
    </w:rPr>
  </w:style>
  <w:style w:type="character" w:customStyle="1" w:styleId="30">
    <w:name w:val="Заголовок 3 Знак"/>
    <w:link w:val="3"/>
    <w:rsid w:val="00E20A4E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E20A4E"/>
    <w:rPr>
      <w:rFonts w:ascii="Antiqua" w:hAnsi="Antiqua"/>
      <w:sz w:val="26"/>
      <w:lang w:val="uk-UA"/>
    </w:rPr>
  </w:style>
  <w:style w:type="paragraph" w:styleId="a3">
    <w:name w:val="Normal (Web)"/>
    <w:basedOn w:val="a"/>
    <w:uiPriority w:val="99"/>
    <w:semiHidden/>
    <w:unhideWhenUsed/>
    <w:rsid w:val="004C1BA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4">
    <w:name w:val="Strong"/>
    <w:basedOn w:val="a0"/>
    <w:uiPriority w:val="22"/>
    <w:qFormat/>
    <w:rsid w:val="004C1BA9"/>
    <w:rPr>
      <w:b/>
      <w:bCs/>
    </w:rPr>
  </w:style>
  <w:style w:type="character" w:styleId="a5">
    <w:name w:val="Hyperlink"/>
    <w:basedOn w:val="a0"/>
    <w:uiPriority w:val="99"/>
    <w:unhideWhenUsed/>
    <w:rsid w:val="004C1B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374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9045">
                      <w:marLeft w:val="36"/>
                      <w:marRight w:val="36"/>
                      <w:marTop w:val="24"/>
                      <w:marBottom w:val="60"/>
                      <w:divBdr>
                        <w:top w:val="single" w:sz="4" w:space="3" w:color="C7C7C7"/>
                        <w:left w:val="single" w:sz="4" w:space="3" w:color="C7C7C7"/>
                        <w:bottom w:val="single" w:sz="4" w:space="3" w:color="C7C7C7"/>
                        <w:right w:val="single" w:sz="4" w:space="3" w:color="C7C7C7"/>
                      </w:divBdr>
                      <w:divsChild>
                        <w:div w:id="131864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2591</Characters>
  <Application>Microsoft Office Word</Application>
  <DocSecurity>0</DocSecurity>
  <Lines>21</Lines>
  <Paragraphs>6</Paragraphs>
  <ScaleCrop>false</ScaleCrop>
  <Company>Microsoft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2020-01-29T21:15:00Z</dcterms:created>
  <dcterms:modified xsi:type="dcterms:W3CDTF">2020-01-29T21:19:00Z</dcterms:modified>
</cp:coreProperties>
</file>